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6D6E5C41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>pomoč</w:t>
      </w:r>
      <w:bookmarkEnd w:id="1"/>
      <w:bookmarkEnd w:id="0"/>
      <w:r w:rsidR="00AE7B49">
        <w:rPr>
          <w:rFonts w:asciiTheme="majorHAnsi" w:hAnsiTheme="majorHAnsi" w:cstheme="majorHAnsi"/>
          <w:b/>
          <w:lang w:val="sl-SI"/>
        </w:rPr>
        <w:t xml:space="preserve"> pri </w:t>
      </w:r>
      <w:r w:rsidR="00D70A75" w:rsidRPr="00D70A75">
        <w:rPr>
          <w:rFonts w:asciiTheme="majorHAnsi" w:hAnsiTheme="majorHAnsi" w:cstheme="majorHAnsi"/>
          <w:b/>
          <w:lang w:val="sl-SI"/>
        </w:rPr>
        <w:t>»Go-to market« strategiji</w:t>
      </w:r>
      <w:r w:rsidR="00AE7B49">
        <w:rPr>
          <w:rFonts w:asciiTheme="majorHAnsi" w:hAnsiTheme="majorHAnsi" w:cstheme="majorHAnsi"/>
          <w:b/>
          <w:lang w:val="sl-SI"/>
        </w:rPr>
        <w:t>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799A24CE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42007333" w:rsidR="00D70A75" w:rsidRPr="00A03DB6" w:rsidRDefault="00D70A75" w:rsidP="00D70A75">
            <w:pPr>
              <w:spacing w:line="288" w:lineRule="auto"/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r w:rsidRPr="00D70A75">
              <w:rPr>
                <w:rFonts w:asciiTheme="majorHAnsi" w:hAnsiTheme="majorHAnsi" w:cstheme="majorHAnsi"/>
                <w:b/>
                <w:lang w:val="sl-SI"/>
              </w:rPr>
              <w:t>»Go-to market« strategij</w:t>
            </w:r>
            <w:r>
              <w:rPr>
                <w:rFonts w:asciiTheme="majorHAnsi" w:hAnsiTheme="majorHAnsi" w:cstheme="majorHAnsi"/>
                <w:b/>
                <w:lang w:val="sl-SI"/>
              </w:rPr>
              <w:t>a</w:t>
            </w:r>
            <w:r>
              <w:rPr>
                <w:rFonts w:asciiTheme="majorHAnsi" w:hAnsiTheme="majorHAnsi" w:cstheme="majorHAnsi"/>
                <w:b/>
                <w:lang w:val="sl-SI"/>
              </w:rPr>
              <w:t>.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1D1C996F" w14:textId="73433795" w:rsidR="00DD3EBE" w:rsidRDefault="00B30164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p w14:paraId="74B856D2" w14:textId="69ED2A53" w:rsidR="00356502" w:rsidRPr="00F4078C" w:rsidRDefault="00356502" w:rsidP="00C715CD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sectPr w:rsidR="00356502" w:rsidRPr="00F4078C" w:rsidSect="00695009">
      <w:headerReference w:type="default" r:id="rId8"/>
      <w:footerReference w:type="default" r:id="rId9"/>
      <w:pgSz w:w="11900" w:h="16840"/>
      <w:pgMar w:top="1985" w:right="1304" w:bottom="1418" w:left="2665" w:header="709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169E4C1B" w:rsidR="006A2788" w:rsidRPr="00E74BE6" w:rsidRDefault="00695009" w:rsidP="006A2788">
    <w:pPr>
      <w:pStyle w:val="Noga"/>
      <w:rPr>
        <w:lang w:val="sl-SI"/>
      </w:rPr>
    </w:pPr>
    <w:bookmarkStart w:id="3" w:name="_Hlk124944054"/>
    <w:r w:rsidRPr="00695009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51DA6579" wp14:editId="4273BF9A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A5E3B"/>
    <w:rsid w:val="005B1704"/>
    <w:rsid w:val="005E21F2"/>
    <w:rsid w:val="005F0D1A"/>
    <w:rsid w:val="00603A0A"/>
    <w:rsid w:val="00624D20"/>
    <w:rsid w:val="0062541C"/>
    <w:rsid w:val="00643A20"/>
    <w:rsid w:val="006473AB"/>
    <w:rsid w:val="00684A87"/>
    <w:rsid w:val="00695009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9156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84537"/>
    <w:rsid w:val="00991527"/>
    <w:rsid w:val="009943E8"/>
    <w:rsid w:val="009A1919"/>
    <w:rsid w:val="009A2893"/>
    <w:rsid w:val="009B19AE"/>
    <w:rsid w:val="009C2BB8"/>
    <w:rsid w:val="009E310A"/>
    <w:rsid w:val="009E3575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AE7B49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65E15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70A75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2025-06-05T13:15:00Z</dcterms:created>
  <dcterms:modified xsi:type="dcterms:W3CDTF">2025-06-05T13:15:00Z</dcterms:modified>
</cp:coreProperties>
</file>